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86BB" w14:textId="65E741F2" w:rsidR="005F210C" w:rsidRPr="005F210C" w:rsidRDefault="005F210C" w:rsidP="005F210C">
      <w:pPr>
        <w:spacing w:line="256" w:lineRule="auto"/>
        <w:jc w:val="center"/>
        <w:rPr>
          <w:rFonts w:ascii="Calibri" w:eastAsia="Calibri" w:hAnsi="Calibri" w:cs="Calibri"/>
          <w:b/>
          <w:bCs/>
          <w:color w:val="000000"/>
        </w:rPr>
      </w:pPr>
      <w:r>
        <w:rPr>
          <w:rFonts w:ascii="Calibri" w:eastAsia="Calibri" w:hAnsi="Calibri" w:cs="Calibri"/>
          <w:b/>
          <w:bCs/>
          <w:color w:val="000000"/>
        </w:rPr>
        <w:t>NO ACCESS POLICY</w:t>
      </w:r>
    </w:p>
    <w:p w14:paraId="4C917293" w14:textId="77777777" w:rsidR="005F210C" w:rsidRPr="005F210C" w:rsidRDefault="005F210C" w:rsidP="005F210C">
      <w:pPr>
        <w:spacing w:line="256" w:lineRule="auto"/>
        <w:jc w:val="center"/>
        <w:rPr>
          <w:rFonts w:ascii="Calibri" w:eastAsia="Calibri" w:hAnsi="Calibri" w:cs="Calibri"/>
          <w:b/>
          <w:bCs/>
          <w:color w:val="000000"/>
        </w:rPr>
      </w:pPr>
    </w:p>
    <w:tbl>
      <w:tblPr>
        <w:tblStyle w:val="TableGrid"/>
        <w:tblW w:w="8995" w:type="dxa"/>
        <w:tblInd w:w="0" w:type="dxa"/>
        <w:tblLook w:val="04A0" w:firstRow="1" w:lastRow="0" w:firstColumn="1" w:lastColumn="0" w:noHBand="0" w:noVBand="1"/>
      </w:tblPr>
      <w:tblGrid>
        <w:gridCol w:w="3397"/>
        <w:gridCol w:w="5598"/>
      </w:tblGrid>
      <w:tr w:rsidR="005F210C" w:rsidRPr="005F210C" w14:paraId="00C3F6DF"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02E5458D" w14:textId="77777777" w:rsidR="005F210C" w:rsidRPr="005F210C" w:rsidRDefault="005F210C" w:rsidP="005F210C">
            <w:pPr>
              <w:jc w:val="center"/>
              <w:rPr>
                <w:rFonts w:cs="Calibri"/>
                <w:b/>
                <w:bCs/>
                <w:color w:val="000000"/>
              </w:rPr>
            </w:pPr>
            <w:r w:rsidRPr="005F210C">
              <w:rPr>
                <w:rFonts w:cs="Calibri"/>
                <w:b/>
                <w:bCs/>
                <w:color w:val="000000"/>
              </w:rPr>
              <w:t>Document Author</w:t>
            </w:r>
          </w:p>
        </w:tc>
        <w:tc>
          <w:tcPr>
            <w:tcW w:w="5598" w:type="dxa"/>
            <w:tcBorders>
              <w:top w:val="single" w:sz="4" w:space="0" w:color="auto"/>
              <w:left w:val="single" w:sz="4" w:space="0" w:color="auto"/>
              <w:bottom w:val="single" w:sz="4" w:space="0" w:color="auto"/>
              <w:right w:val="single" w:sz="4" w:space="0" w:color="auto"/>
            </w:tcBorders>
            <w:hideMark/>
          </w:tcPr>
          <w:p w14:paraId="30A9E506"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111D507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78E26B67" w14:textId="77777777" w:rsidR="005F210C" w:rsidRPr="005F210C" w:rsidRDefault="005F210C" w:rsidP="005F210C">
            <w:pPr>
              <w:jc w:val="center"/>
              <w:rPr>
                <w:rFonts w:cs="Calibri"/>
                <w:b/>
                <w:bCs/>
                <w:color w:val="000000"/>
              </w:rPr>
            </w:pPr>
            <w:r w:rsidRPr="005F210C">
              <w:rPr>
                <w:rFonts w:cs="Calibri"/>
                <w:b/>
                <w:bCs/>
                <w:color w:val="000000"/>
              </w:rPr>
              <w:t>Document Owner</w:t>
            </w:r>
          </w:p>
        </w:tc>
        <w:tc>
          <w:tcPr>
            <w:tcW w:w="5598" w:type="dxa"/>
            <w:tcBorders>
              <w:top w:val="single" w:sz="4" w:space="0" w:color="auto"/>
              <w:left w:val="single" w:sz="4" w:space="0" w:color="auto"/>
              <w:bottom w:val="single" w:sz="4" w:space="0" w:color="auto"/>
              <w:right w:val="single" w:sz="4" w:space="0" w:color="auto"/>
            </w:tcBorders>
            <w:hideMark/>
          </w:tcPr>
          <w:p w14:paraId="213F3692" w14:textId="77777777" w:rsidR="005F210C" w:rsidRPr="005F210C" w:rsidRDefault="005F210C" w:rsidP="005F210C">
            <w:pPr>
              <w:jc w:val="center"/>
              <w:rPr>
                <w:rFonts w:cs="Calibri"/>
                <w:b/>
                <w:bCs/>
                <w:color w:val="000000"/>
              </w:rPr>
            </w:pPr>
            <w:r w:rsidRPr="005F210C">
              <w:rPr>
                <w:rFonts w:cs="Calibri"/>
                <w:b/>
                <w:bCs/>
                <w:color w:val="000000"/>
              </w:rPr>
              <w:t>M T Corfield</w:t>
            </w:r>
          </w:p>
        </w:tc>
      </w:tr>
      <w:tr w:rsidR="005F210C" w:rsidRPr="005F210C" w14:paraId="753FA948"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CA58FE5" w14:textId="77777777" w:rsidR="005F210C" w:rsidRPr="005F210C" w:rsidRDefault="005F210C" w:rsidP="005F210C">
            <w:pPr>
              <w:jc w:val="center"/>
              <w:rPr>
                <w:rFonts w:cs="Calibri"/>
                <w:b/>
                <w:bCs/>
                <w:color w:val="000000"/>
              </w:rPr>
            </w:pPr>
            <w:r w:rsidRPr="005F210C">
              <w:rPr>
                <w:rFonts w:cs="Calibri"/>
                <w:b/>
                <w:bCs/>
                <w:color w:val="000000"/>
              </w:rPr>
              <w:t xml:space="preserve">Approved </w:t>
            </w:r>
          </w:p>
        </w:tc>
        <w:tc>
          <w:tcPr>
            <w:tcW w:w="5598" w:type="dxa"/>
            <w:tcBorders>
              <w:top w:val="single" w:sz="4" w:space="0" w:color="auto"/>
              <w:left w:val="single" w:sz="4" w:space="0" w:color="auto"/>
              <w:bottom w:val="single" w:sz="4" w:space="0" w:color="auto"/>
              <w:right w:val="single" w:sz="4" w:space="0" w:color="auto"/>
            </w:tcBorders>
            <w:hideMark/>
          </w:tcPr>
          <w:p w14:paraId="668E1EC7" w14:textId="27019395" w:rsidR="005F210C" w:rsidRPr="005F210C" w:rsidRDefault="0070508D" w:rsidP="005F210C">
            <w:pPr>
              <w:jc w:val="center"/>
              <w:rPr>
                <w:rFonts w:cs="Calibri"/>
                <w:b/>
                <w:bCs/>
                <w:color w:val="000000"/>
              </w:rPr>
            </w:pPr>
            <w:r>
              <w:rPr>
                <w:rFonts w:cs="Calibri"/>
                <w:b/>
                <w:bCs/>
                <w:color w:val="000000"/>
              </w:rPr>
              <w:t>Board Meeting September 2025</w:t>
            </w:r>
          </w:p>
        </w:tc>
      </w:tr>
      <w:tr w:rsidR="005F210C" w:rsidRPr="005F210C" w14:paraId="4FBB54CA"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264E2C10" w14:textId="77777777" w:rsidR="005F210C" w:rsidRPr="005F210C" w:rsidRDefault="005F210C" w:rsidP="005F210C">
            <w:pPr>
              <w:jc w:val="center"/>
              <w:rPr>
                <w:rFonts w:cs="Calibri"/>
                <w:b/>
                <w:bCs/>
                <w:color w:val="000000"/>
              </w:rPr>
            </w:pPr>
            <w:r w:rsidRPr="005F210C">
              <w:rPr>
                <w:rFonts w:cs="Calibri"/>
                <w:b/>
                <w:bCs/>
                <w:color w:val="000000"/>
              </w:rPr>
              <w:t>Review date</w:t>
            </w:r>
          </w:p>
        </w:tc>
        <w:tc>
          <w:tcPr>
            <w:tcW w:w="5598" w:type="dxa"/>
            <w:tcBorders>
              <w:top w:val="single" w:sz="4" w:space="0" w:color="auto"/>
              <w:left w:val="single" w:sz="4" w:space="0" w:color="auto"/>
              <w:bottom w:val="single" w:sz="4" w:space="0" w:color="auto"/>
              <w:right w:val="single" w:sz="4" w:space="0" w:color="auto"/>
            </w:tcBorders>
            <w:hideMark/>
          </w:tcPr>
          <w:p w14:paraId="1FFD33DC" w14:textId="478F22B5" w:rsidR="005F210C" w:rsidRPr="005F210C" w:rsidRDefault="0070508D" w:rsidP="005F210C">
            <w:pPr>
              <w:jc w:val="center"/>
              <w:rPr>
                <w:rFonts w:cs="Calibri"/>
                <w:b/>
                <w:bCs/>
                <w:color w:val="000000"/>
              </w:rPr>
            </w:pPr>
            <w:r>
              <w:rPr>
                <w:rFonts w:cs="Calibri"/>
                <w:b/>
                <w:bCs/>
                <w:color w:val="000000"/>
              </w:rPr>
              <w:t>September 2028</w:t>
            </w:r>
          </w:p>
        </w:tc>
      </w:tr>
      <w:tr w:rsidR="005F210C" w:rsidRPr="005F210C" w14:paraId="1D5D5B5D" w14:textId="77777777" w:rsidTr="003B5301">
        <w:tc>
          <w:tcPr>
            <w:tcW w:w="3397" w:type="dxa"/>
            <w:tcBorders>
              <w:top w:val="single" w:sz="4" w:space="0" w:color="auto"/>
              <w:left w:val="single" w:sz="4" w:space="0" w:color="auto"/>
              <w:bottom w:val="single" w:sz="4" w:space="0" w:color="auto"/>
              <w:right w:val="single" w:sz="4" w:space="0" w:color="auto"/>
            </w:tcBorders>
            <w:hideMark/>
          </w:tcPr>
          <w:p w14:paraId="60B0A95D" w14:textId="77777777" w:rsidR="005F210C" w:rsidRPr="005F210C" w:rsidRDefault="005F210C" w:rsidP="005F210C">
            <w:pPr>
              <w:jc w:val="center"/>
              <w:rPr>
                <w:rFonts w:cs="Calibri"/>
                <w:b/>
                <w:bCs/>
                <w:color w:val="000000"/>
              </w:rPr>
            </w:pPr>
            <w:r w:rsidRPr="005F210C">
              <w:rPr>
                <w:rFonts w:cs="Calibri"/>
                <w:b/>
                <w:bCs/>
                <w:color w:val="000000"/>
              </w:rPr>
              <w:t xml:space="preserve">Link to Strategic Plan </w:t>
            </w:r>
          </w:p>
        </w:tc>
        <w:tc>
          <w:tcPr>
            <w:tcW w:w="5598" w:type="dxa"/>
            <w:tcBorders>
              <w:top w:val="single" w:sz="4" w:space="0" w:color="auto"/>
              <w:left w:val="single" w:sz="4" w:space="0" w:color="auto"/>
              <w:bottom w:val="single" w:sz="4" w:space="0" w:color="auto"/>
              <w:right w:val="single" w:sz="4" w:space="0" w:color="auto"/>
            </w:tcBorders>
          </w:tcPr>
          <w:p w14:paraId="00135AFF" w14:textId="77777777" w:rsidR="00553C83" w:rsidRPr="00553C83" w:rsidRDefault="00553C83" w:rsidP="00553C83">
            <w:pPr>
              <w:rPr>
                <w:rFonts w:ascii="Times New Roman" w:eastAsia="Times New Roman" w:hAnsi="Times New Roman" w:cs="Times New Roman"/>
                <w:kern w:val="0"/>
                <w:sz w:val="24"/>
                <w:szCs w:val="24"/>
                <w:lang w:eastAsia="en-GB"/>
                <w14:ligatures w14:val="none"/>
              </w:rPr>
            </w:pPr>
            <w:r w:rsidRPr="00553C83">
              <w:rPr>
                <w:rFonts w:eastAsia="Times New Roman" w:cs="Calibri"/>
                <w:b/>
                <w:bCs/>
                <w:color w:val="000000"/>
                <w:kern w:val="0"/>
                <w:lang w:eastAsia="en-GB"/>
                <w14:ligatures w14:val="none"/>
              </w:rPr>
              <w:t>Objective 1: Well Run, Responsible and Financially Secure</w:t>
            </w:r>
          </w:p>
          <w:p w14:paraId="7B91A469" w14:textId="0196AA47" w:rsidR="005F210C" w:rsidRPr="005F210C" w:rsidRDefault="00553C83" w:rsidP="00553C83">
            <w:pPr>
              <w:rPr>
                <w:rFonts w:cs="Calibri"/>
                <w:b/>
                <w:bCs/>
                <w:color w:val="000000"/>
              </w:rPr>
            </w:pPr>
            <w:r w:rsidRPr="00553C83">
              <w:rPr>
                <w:rFonts w:eastAsia="Times New Roman" w:cs="Calibri"/>
                <w:b/>
                <w:bCs/>
                <w:color w:val="000000"/>
                <w:kern w:val="0"/>
                <w:lang w:eastAsia="en-GB"/>
                <w14:ligatures w14:val="none"/>
              </w:rPr>
              <w:t>Priority 1: Developing our processes, data and reporting</w:t>
            </w:r>
          </w:p>
        </w:tc>
      </w:tr>
    </w:tbl>
    <w:p w14:paraId="2186C525" w14:textId="77777777" w:rsidR="005F210C" w:rsidRPr="005F210C" w:rsidRDefault="005F210C" w:rsidP="005F210C">
      <w:pPr>
        <w:spacing w:line="256" w:lineRule="auto"/>
        <w:jc w:val="center"/>
        <w:rPr>
          <w:rFonts w:ascii="Calibri" w:eastAsia="Calibri" w:hAnsi="Calibri" w:cs="Calibri"/>
          <w:b/>
          <w:bCs/>
          <w:color w:val="000000"/>
        </w:rPr>
      </w:pPr>
    </w:p>
    <w:p w14:paraId="4A45E56C" w14:textId="2C078539" w:rsidR="005F210C" w:rsidRPr="001770F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sidRPr="005F210C">
        <w:rPr>
          <w:rFonts w:ascii="Calibri" w:eastAsia="Times New Roman" w:hAnsi="Calibri" w:cs="Calibri"/>
          <w:b/>
          <w:bCs/>
          <w:color w:val="000000"/>
          <w:kern w:val="0"/>
          <w:lang w:eastAsia="en-GB"/>
          <w14:ligatures w14:val="none"/>
        </w:rPr>
        <w:t>Introduction and Aims</w:t>
      </w:r>
    </w:p>
    <w:p w14:paraId="15F32C0F" w14:textId="77777777" w:rsidR="001770F3" w:rsidRDefault="001770F3" w:rsidP="001770F3">
      <w:pPr>
        <w:spacing w:after="0" w:line="240" w:lineRule="auto"/>
        <w:textAlignment w:val="baseline"/>
        <w:rPr>
          <w:rFonts w:ascii="Calibri" w:eastAsia="Times New Roman" w:hAnsi="Calibri" w:cs="Calibri"/>
          <w:color w:val="000000"/>
          <w:kern w:val="0"/>
          <w:lang w:eastAsia="en-GB"/>
          <w14:ligatures w14:val="none"/>
        </w:rPr>
      </w:pPr>
    </w:p>
    <w:p w14:paraId="3C84DD8F" w14:textId="6CC05FA1" w:rsidR="00975984" w:rsidRDefault="009A0FD8" w:rsidP="006D0C76">
      <w:pPr>
        <w:spacing w:after="0" w:line="240" w:lineRule="auto"/>
        <w:textAlignment w:val="baseline"/>
        <w:rPr>
          <w:rFonts w:ascii="Calibri" w:eastAsia="Times New Roman" w:hAnsi="Calibri" w:cs="Calibri"/>
          <w:color w:val="000000"/>
          <w:kern w:val="0"/>
          <w:lang w:eastAsia="en-GB"/>
          <w14:ligatures w14:val="none"/>
        </w:rPr>
      </w:pPr>
      <w:r w:rsidRPr="009A0FD8">
        <w:rPr>
          <w:rFonts w:ascii="Calibri" w:eastAsia="Times New Roman" w:hAnsi="Calibri" w:cs="Calibri"/>
          <w:color w:val="000000"/>
          <w:kern w:val="0"/>
          <w:lang w:eastAsia="en-GB"/>
          <w14:ligatures w14:val="none"/>
        </w:rPr>
        <w:t>Th</w:t>
      </w:r>
      <w:r w:rsidR="00BE1C21">
        <w:rPr>
          <w:rFonts w:ascii="Calibri" w:eastAsia="Times New Roman" w:hAnsi="Calibri" w:cs="Calibri"/>
          <w:color w:val="000000"/>
          <w:kern w:val="0"/>
          <w:lang w:eastAsia="en-GB"/>
          <w14:ligatures w14:val="none"/>
        </w:rPr>
        <w:t xml:space="preserve">is policy </w:t>
      </w:r>
      <w:r w:rsidRPr="009A0FD8">
        <w:rPr>
          <w:rFonts w:ascii="Calibri" w:eastAsia="Times New Roman" w:hAnsi="Calibri" w:cs="Calibri"/>
          <w:color w:val="000000"/>
          <w:kern w:val="0"/>
          <w:lang w:eastAsia="en-GB"/>
          <w14:ligatures w14:val="none"/>
        </w:rPr>
        <w:t xml:space="preserve">details the action that </w:t>
      </w:r>
      <w:r>
        <w:rPr>
          <w:rFonts w:ascii="Calibri" w:eastAsia="Times New Roman" w:hAnsi="Calibri" w:cs="Calibri"/>
          <w:color w:val="000000"/>
          <w:kern w:val="0"/>
          <w:lang w:eastAsia="en-GB"/>
          <w14:ligatures w14:val="none"/>
        </w:rPr>
        <w:t>PNWHA</w:t>
      </w:r>
      <w:r w:rsidRPr="009A0FD8">
        <w:rPr>
          <w:rFonts w:ascii="Calibri" w:eastAsia="Times New Roman" w:hAnsi="Calibri" w:cs="Calibri"/>
          <w:color w:val="000000"/>
          <w:kern w:val="0"/>
          <w:lang w:eastAsia="en-GB"/>
          <w14:ligatures w14:val="none"/>
        </w:rPr>
        <w:t xml:space="preserve"> will take where we are not allowed access to homes to carry out works </w:t>
      </w:r>
      <w:r w:rsidR="00E53F2F">
        <w:rPr>
          <w:rFonts w:ascii="Calibri" w:eastAsia="Times New Roman" w:hAnsi="Calibri" w:cs="Calibri"/>
          <w:color w:val="000000"/>
          <w:kern w:val="0"/>
          <w:lang w:eastAsia="en-GB"/>
          <w14:ligatures w14:val="none"/>
        </w:rPr>
        <w:t>or</w:t>
      </w:r>
      <w:r w:rsidR="001A7440">
        <w:rPr>
          <w:rFonts w:ascii="Calibri" w:eastAsia="Times New Roman" w:hAnsi="Calibri" w:cs="Calibri"/>
          <w:color w:val="000000"/>
          <w:kern w:val="0"/>
          <w:lang w:eastAsia="en-GB"/>
          <w14:ligatures w14:val="none"/>
        </w:rPr>
        <w:t xml:space="preserve"> other</w:t>
      </w:r>
      <w:r w:rsidRPr="009A0FD8">
        <w:rPr>
          <w:rFonts w:ascii="Calibri" w:eastAsia="Times New Roman" w:hAnsi="Calibri" w:cs="Calibri"/>
          <w:color w:val="000000"/>
          <w:kern w:val="0"/>
          <w:lang w:eastAsia="en-GB"/>
          <w14:ligatures w14:val="none"/>
        </w:rPr>
        <w:t xml:space="preserve"> housing management function</w:t>
      </w:r>
      <w:r w:rsidR="001A7440">
        <w:rPr>
          <w:rFonts w:ascii="Calibri" w:eastAsia="Times New Roman" w:hAnsi="Calibri" w:cs="Calibri"/>
          <w:color w:val="000000"/>
          <w:kern w:val="0"/>
          <w:lang w:eastAsia="en-GB"/>
          <w14:ligatures w14:val="none"/>
        </w:rPr>
        <w:t>s</w:t>
      </w:r>
      <w:r w:rsidRPr="009A0FD8">
        <w:rPr>
          <w:rFonts w:ascii="Calibri" w:eastAsia="Times New Roman" w:hAnsi="Calibri" w:cs="Calibri"/>
          <w:color w:val="000000"/>
          <w:kern w:val="0"/>
          <w:lang w:eastAsia="en-GB"/>
          <w14:ligatures w14:val="none"/>
        </w:rPr>
        <w:t>.</w:t>
      </w:r>
      <w:r w:rsidR="00876FE9">
        <w:rPr>
          <w:rFonts w:ascii="Calibri" w:eastAsia="Times New Roman" w:hAnsi="Calibri" w:cs="Calibri"/>
          <w:color w:val="000000"/>
          <w:kern w:val="0"/>
          <w:lang w:eastAsia="en-GB"/>
          <w14:ligatures w14:val="none"/>
        </w:rPr>
        <w:t xml:space="preserve"> </w:t>
      </w:r>
      <w:r w:rsidR="00876FE9" w:rsidRPr="00876FE9">
        <w:rPr>
          <w:rFonts w:ascii="Calibri" w:eastAsia="Times New Roman" w:hAnsi="Calibri" w:cs="Calibri"/>
          <w:color w:val="000000"/>
          <w:kern w:val="0"/>
          <w:lang w:eastAsia="en-GB"/>
          <w14:ligatures w14:val="none"/>
        </w:rPr>
        <w:t>Social landlords are required to demonstrate compliance with mandatory and statutory safety obligations by conducting periodic safety inspections to ensure tenant safety. While most tenants will allow access for these inspections and associated works, landlords have steps they can take if access is denied.</w:t>
      </w:r>
    </w:p>
    <w:p w14:paraId="6052F763" w14:textId="77777777" w:rsidR="00975984" w:rsidRPr="001770F3" w:rsidRDefault="00975984" w:rsidP="001770F3">
      <w:pPr>
        <w:spacing w:after="0" w:line="240" w:lineRule="auto"/>
        <w:textAlignment w:val="baseline"/>
        <w:rPr>
          <w:rFonts w:ascii="Calibri" w:eastAsia="Times New Roman" w:hAnsi="Calibri" w:cs="Calibri"/>
          <w:color w:val="000000"/>
          <w:kern w:val="0"/>
          <w:lang w:eastAsia="en-GB"/>
          <w14:ligatures w14:val="none"/>
        </w:rPr>
      </w:pPr>
    </w:p>
    <w:p w14:paraId="614A07A1" w14:textId="144331E4" w:rsidR="005F210C"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Definitions</w:t>
      </w:r>
      <w:r>
        <w:rPr>
          <w:rFonts w:ascii="Calibri" w:eastAsia="Times New Roman" w:hAnsi="Calibri" w:cs="Calibri"/>
          <w:color w:val="000000"/>
          <w:kern w:val="0"/>
          <w:lang w:eastAsia="en-GB"/>
          <w14:ligatures w14:val="none"/>
        </w:rPr>
        <w:t xml:space="preserve"> </w:t>
      </w:r>
    </w:p>
    <w:p w14:paraId="17943727" w14:textId="77777777" w:rsidR="00D53455" w:rsidRDefault="00D53455" w:rsidP="00D53455">
      <w:pPr>
        <w:spacing w:after="0" w:line="240" w:lineRule="auto"/>
        <w:textAlignment w:val="baseline"/>
        <w:rPr>
          <w:rFonts w:ascii="Calibri" w:eastAsia="Times New Roman" w:hAnsi="Calibri" w:cs="Calibri"/>
          <w:color w:val="000000"/>
          <w:kern w:val="0"/>
          <w:lang w:eastAsia="en-GB"/>
          <w14:ligatures w14:val="none"/>
        </w:rPr>
      </w:pPr>
    </w:p>
    <w:p w14:paraId="2DB174C2" w14:textId="7C0FC28D" w:rsidR="00D53455" w:rsidRPr="00DC6D8B" w:rsidRDefault="00DC6D8B" w:rsidP="00DC6D8B">
      <w:pPr>
        <w:numPr>
          <w:ilvl w:val="0"/>
          <w:numId w:val="2"/>
        </w:numPr>
        <w:spacing w:after="0" w:line="240" w:lineRule="auto"/>
        <w:textAlignment w:val="baseline"/>
        <w:rPr>
          <w:rFonts w:ascii="Calibri" w:eastAsia="Times New Roman" w:hAnsi="Calibri" w:cs="Calibri"/>
          <w:color w:val="000000"/>
          <w:kern w:val="0"/>
          <w:lang w:eastAsia="en-GB"/>
          <w14:ligatures w14:val="none"/>
        </w:rPr>
      </w:pPr>
      <w:r w:rsidRPr="00DC6D8B">
        <w:rPr>
          <w:rFonts w:ascii="Calibri" w:eastAsia="Times New Roman" w:hAnsi="Calibri" w:cs="Calibri"/>
          <w:color w:val="000000"/>
          <w:kern w:val="0"/>
          <w:lang w:eastAsia="en-GB"/>
          <w14:ligatures w14:val="none"/>
        </w:rPr>
        <w:t xml:space="preserve">No </w:t>
      </w:r>
      <w:r w:rsidR="007E2496">
        <w:rPr>
          <w:rFonts w:ascii="Calibri" w:eastAsia="Times New Roman" w:hAnsi="Calibri" w:cs="Calibri"/>
          <w:color w:val="000000"/>
          <w:kern w:val="0"/>
          <w:lang w:eastAsia="en-GB"/>
          <w14:ligatures w14:val="none"/>
        </w:rPr>
        <w:t>a</w:t>
      </w:r>
      <w:r w:rsidRPr="00DC6D8B">
        <w:rPr>
          <w:rFonts w:ascii="Calibri" w:eastAsia="Times New Roman" w:hAnsi="Calibri" w:cs="Calibri"/>
          <w:color w:val="000000"/>
          <w:kern w:val="0"/>
          <w:lang w:eastAsia="en-GB"/>
          <w14:ligatures w14:val="none"/>
        </w:rPr>
        <w:t xml:space="preserve">ccess – </w:t>
      </w:r>
      <w:r w:rsidR="00462F90">
        <w:rPr>
          <w:rFonts w:ascii="Calibri" w:eastAsia="Times New Roman" w:hAnsi="Calibri" w:cs="Calibri"/>
          <w:color w:val="000000"/>
          <w:kern w:val="0"/>
          <w:lang w:eastAsia="en-GB"/>
          <w14:ligatures w14:val="none"/>
        </w:rPr>
        <w:t>situations where tenant</w:t>
      </w:r>
      <w:r w:rsidR="007E2496">
        <w:rPr>
          <w:rFonts w:ascii="Calibri" w:eastAsia="Times New Roman" w:hAnsi="Calibri" w:cs="Calibri"/>
          <w:color w:val="000000"/>
          <w:kern w:val="0"/>
          <w:lang w:eastAsia="en-GB"/>
          <w14:ligatures w14:val="none"/>
        </w:rPr>
        <w:t>s refuse to allow access for necessary maintenance, inspection</w:t>
      </w:r>
      <w:r w:rsidR="004E608A">
        <w:rPr>
          <w:rFonts w:ascii="Calibri" w:eastAsia="Times New Roman" w:hAnsi="Calibri" w:cs="Calibri"/>
          <w:color w:val="000000"/>
          <w:kern w:val="0"/>
          <w:lang w:eastAsia="en-GB"/>
          <w14:ligatures w14:val="none"/>
        </w:rPr>
        <w:t>,</w:t>
      </w:r>
      <w:r w:rsidR="007E2496">
        <w:rPr>
          <w:rFonts w:ascii="Calibri" w:eastAsia="Times New Roman" w:hAnsi="Calibri" w:cs="Calibri"/>
          <w:color w:val="000000"/>
          <w:kern w:val="0"/>
          <w:lang w:eastAsia="en-GB"/>
          <w14:ligatures w14:val="none"/>
        </w:rPr>
        <w:t xml:space="preserve"> repairs</w:t>
      </w:r>
      <w:r w:rsidR="004E608A">
        <w:rPr>
          <w:rFonts w:ascii="Calibri" w:eastAsia="Times New Roman" w:hAnsi="Calibri" w:cs="Calibri"/>
          <w:color w:val="000000"/>
          <w:kern w:val="0"/>
          <w:lang w:eastAsia="en-GB"/>
          <w14:ligatures w14:val="none"/>
        </w:rPr>
        <w:t xml:space="preserve"> or other management reasons</w:t>
      </w:r>
      <w:r w:rsidR="007E2496">
        <w:rPr>
          <w:rFonts w:ascii="Calibri" w:eastAsia="Times New Roman" w:hAnsi="Calibri" w:cs="Calibri"/>
          <w:color w:val="000000"/>
          <w:kern w:val="0"/>
          <w:lang w:eastAsia="en-GB"/>
          <w14:ligatures w14:val="none"/>
        </w:rPr>
        <w:t>.</w:t>
      </w:r>
      <w:r w:rsidRPr="00DC6D8B">
        <w:rPr>
          <w:rFonts w:ascii="Calibri" w:eastAsia="Times New Roman" w:hAnsi="Calibri" w:cs="Calibri"/>
          <w:color w:val="000000"/>
          <w:kern w:val="0"/>
          <w:lang w:eastAsia="en-GB"/>
          <w14:ligatures w14:val="none"/>
        </w:rPr>
        <w:t> </w:t>
      </w:r>
    </w:p>
    <w:p w14:paraId="1DB90E9D" w14:textId="77777777" w:rsidR="00D53455" w:rsidRPr="005F210C" w:rsidRDefault="00D53455" w:rsidP="00D53455">
      <w:pPr>
        <w:spacing w:after="0" w:line="240" w:lineRule="auto"/>
        <w:textAlignment w:val="baseline"/>
        <w:rPr>
          <w:rFonts w:ascii="Calibri" w:eastAsia="Times New Roman" w:hAnsi="Calibri" w:cs="Calibri"/>
          <w:color w:val="000000"/>
          <w:kern w:val="0"/>
          <w:lang w:eastAsia="en-GB"/>
          <w14:ligatures w14:val="none"/>
        </w:rPr>
      </w:pPr>
    </w:p>
    <w:p w14:paraId="57FBBA7C" w14:textId="6CD5E6C5" w:rsidR="00F43773" w:rsidRDefault="005F210C" w:rsidP="00F43773">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Policy</w:t>
      </w:r>
    </w:p>
    <w:p w14:paraId="3E2F0B86" w14:textId="77777777" w:rsid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184F6612" w14:textId="77777777" w:rsidR="00621F6C" w:rsidRDefault="00795265" w:rsidP="00983DEC">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sidRPr="00983DEC">
        <w:rPr>
          <w:rFonts w:ascii="Calibri" w:eastAsia="Times New Roman" w:hAnsi="Calibri" w:cs="Calibri"/>
          <w:color w:val="000000"/>
          <w:kern w:val="0"/>
          <w:lang w:eastAsia="en-GB"/>
          <w14:ligatures w14:val="none"/>
        </w:rPr>
        <w:t>PNWHA will contact the tenant in advance</w:t>
      </w:r>
      <w:r w:rsidR="00403600" w:rsidRPr="00983DEC">
        <w:rPr>
          <w:rFonts w:ascii="Calibri" w:eastAsia="Times New Roman" w:hAnsi="Calibri" w:cs="Calibri"/>
          <w:color w:val="000000"/>
          <w:kern w:val="0"/>
          <w:lang w:eastAsia="en-GB"/>
          <w14:ligatures w14:val="none"/>
        </w:rPr>
        <w:t xml:space="preserve"> to outline why access is required and </w:t>
      </w:r>
      <w:r w:rsidR="009E6904" w:rsidRPr="00983DEC">
        <w:rPr>
          <w:rFonts w:ascii="Calibri" w:eastAsia="Times New Roman" w:hAnsi="Calibri" w:cs="Calibri"/>
          <w:color w:val="000000"/>
          <w:kern w:val="0"/>
          <w:lang w:eastAsia="en-GB"/>
          <w14:ligatures w14:val="none"/>
        </w:rPr>
        <w:t xml:space="preserve">to secure an appointment date. </w:t>
      </w:r>
      <w:r w:rsidR="006F78FC">
        <w:rPr>
          <w:rFonts w:ascii="Calibri" w:eastAsia="Times New Roman" w:hAnsi="Calibri" w:cs="Calibri"/>
          <w:color w:val="000000"/>
          <w:kern w:val="0"/>
          <w:lang w:eastAsia="en-GB"/>
          <w14:ligatures w14:val="none"/>
        </w:rPr>
        <w:t>We</w:t>
      </w:r>
      <w:r w:rsidR="00CC27A6">
        <w:rPr>
          <w:rFonts w:ascii="Calibri" w:eastAsia="Times New Roman" w:hAnsi="Calibri" w:cs="Calibri"/>
          <w:color w:val="000000"/>
          <w:kern w:val="0"/>
          <w:lang w:eastAsia="en-GB"/>
          <w14:ligatures w14:val="none"/>
        </w:rPr>
        <w:t xml:space="preserve"> will attempt </w:t>
      </w:r>
      <w:r w:rsidR="00E16C56">
        <w:rPr>
          <w:rFonts w:ascii="Calibri" w:eastAsia="Times New Roman" w:hAnsi="Calibri" w:cs="Calibri"/>
          <w:color w:val="000000"/>
          <w:kern w:val="0"/>
          <w:lang w:eastAsia="en-GB"/>
          <w14:ligatures w14:val="none"/>
        </w:rPr>
        <w:t xml:space="preserve">to contact the tenant multiple times in a </w:t>
      </w:r>
      <w:r w:rsidR="006F78FC">
        <w:rPr>
          <w:rFonts w:ascii="Calibri" w:eastAsia="Times New Roman" w:hAnsi="Calibri" w:cs="Calibri"/>
          <w:color w:val="000000"/>
          <w:kern w:val="0"/>
          <w:lang w:eastAsia="en-GB"/>
          <w14:ligatures w14:val="none"/>
        </w:rPr>
        <w:t>number</w:t>
      </w:r>
      <w:r w:rsidR="00E16C56">
        <w:rPr>
          <w:rFonts w:ascii="Calibri" w:eastAsia="Times New Roman" w:hAnsi="Calibri" w:cs="Calibri"/>
          <w:color w:val="000000"/>
          <w:kern w:val="0"/>
          <w:lang w:eastAsia="en-GB"/>
          <w14:ligatures w14:val="none"/>
        </w:rPr>
        <w:t xml:space="preserve"> of different ways.</w:t>
      </w:r>
      <w:r w:rsidR="00542877">
        <w:rPr>
          <w:rFonts w:ascii="Calibri" w:eastAsia="Times New Roman" w:hAnsi="Calibri" w:cs="Calibri"/>
          <w:color w:val="000000"/>
          <w:kern w:val="0"/>
          <w:lang w:eastAsia="en-GB"/>
          <w14:ligatures w14:val="none"/>
        </w:rPr>
        <w:t xml:space="preserve"> If tenants fail to respond to </w:t>
      </w:r>
      <w:r w:rsidR="00522DD2">
        <w:rPr>
          <w:rFonts w:ascii="Calibri" w:eastAsia="Times New Roman" w:hAnsi="Calibri" w:cs="Calibri"/>
          <w:color w:val="000000"/>
          <w:kern w:val="0"/>
          <w:lang w:eastAsia="en-GB"/>
          <w14:ligatures w14:val="none"/>
        </w:rPr>
        <w:t>attempts to contact them</w:t>
      </w:r>
      <w:r w:rsidR="0035090A">
        <w:rPr>
          <w:rFonts w:ascii="Calibri" w:eastAsia="Times New Roman" w:hAnsi="Calibri" w:cs="Calibri"/>
          <w:color w:val="000000"/>
          <w:kern w:val="0"/>
          <w:lang w:eastAsia="en-GB"/>
          <w14:ligatures w14:val="none"/>
        </w:rPr>
        <w:t xml:space="preserve"> directly</w:t>
      </w:r>
      <w:r w:rsidR="00522DD2">
        <w:rPr>
          <w:rFonts w:ascii="Calibri" w:eastAsia="Times New Roman" w:hAnsi="Calibri" w:cs="Calibri"/>
          <w:color w:val="000000"/>
          <w:kern w:val="0"/>
          <w:lang w:eastAsia="en-GB"/>
          <w14:ligatures w14:val="none"/>
        </w:rPr>
        <w:t>, we may take measures</w:t>
      </w:r>
      <w:r w:rsidR="00AB0EC6">
        <w:rPr>
          <w:rFonts w:ascii="Calibri" w:eastAsia="Times New Roman" w:hAnsi="Calibri" w:cs="Calibri"/>
          <w:color w:val="000000"/>
          <w:kern w:val="0"/>
          <w:lang w:eastAsia="en-GB"/>
          <w14:ligatures w14:val="none"/>
        </w:rPr>
        <w:t xml:space="preserve"> such as </w:t>
      </w:r>
      <w:proofErr w:type="gramStart"/>
      <w:r w:rsidR="00DD662B">
        <w:rPr>
          <w:rFonts w:ascii="Calibri" w:eastAsia="Times New Roman" w:hAnsi="Calibri" w:cs="Calibri"/>
          <w:color w:val="000000"/>
          <w:kern w:val="0"/>
          <w:lang w:eastAsia="en-GB"/>
          <w14:ligatures w14:val="none"/>
        </w:rPr>
        <w:t>making contact with</w:t>
      </w:r>
      <w:proofErr w:type="gramEnd"/>
      <w:r w:rsidR="00DD662B">
        <w:rPr>
          <w:rFonts w:ascii="Calibri" w:eastAsia="Times New Roman" w:hAnsi="Calibri" w:cs="Calibri"/>
          <w:color w:val="000000"/>
          <w:kern w:val="0"/>
          <w:lang w:eastAsia="en-GB"/>
          <w14:ligatures w14:val="none"/>
        </w:rPr>
        <w:t xml:space="preserve"> next of kin or those listed as having caring responsibilit</w:t>
      </w:r>
      <w:r w:rsidR="001861BA">
        <w:rPr>
          <w:rFonts w:ascii="Calibri" w:eastAsia="Times New Roman" w:hAnsi="Calibri" w:cs="Calibri"/>
          <w:color w:val="000000"/>
          <w:kern w:val="0"/>
          <w:lang w:eastAsia="en-GB"/>
          <w14:ligatures w14:val="none"/>
        </w:rPr>
        <w:t>ies.</w:t>
      </w:r>
    </w:p>
    <w:p w14:paraId="732E01DD" w14:textId="333F23DB" w:rsidR="00FF258A" w:rsidRPr="00621F6C" w:rsidRDefault="00F8174A" w:rsidP="00621F6C">
      <w:pPr>
        <w:spacing w:after="0" w:line="240" w:lineRule="auto"/>
        <w:ind w:left="360"/>
        <w:textAlignment w:val="baseline"/>
        <w:rPr>
          <w:rFonts w:ascii="Calibri" w:eastAsia="Times New Roman" w:hAnsi="Calibri" w:cs="Calibri"/>
          <w:color w:val="000000"/>
          <w:kern w:val="0"/>
          <w:lang w:eastAsia="en-GB"/>
          <w14:ligatures w14:val="none"/>
        </w:rPr>
      </w:pPr>
      <w:r w:rsidRPr="00621F6C">
        <w:rPr>
          <w:rFonts w:ascii="Calibri" w:eastAsia="Times New Roman" w:hAnsi="Calibri" w:cs="Calibri"/>
          <w:color w:val="000000"/>
          <w:kern w:val="0"/>
          <w:lang w:eastAsia="en-GB"/>
          <w14:ligatures w14:val="none"/>
        </w:rPr>
        <w:t xml:space="preserve"> </w:t>
      </w:r>
    </w:p>
    <w:p w14:paraId="5F72CA0E" w14:textId="674F0871" w:rsidR="00FF258A" w:rsidRDefault="00FF258A" w:rsidP="00FF258A">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sidRPr="00983DEC">
        <w:rPr>
          <w:rFonts w:ascii="Calibri" w:eastAsia="Times New Roman" w:hAnsi="Calibri" w:cs="Calibri"/>
          <w:color w:val="000000"/>
          <w:kern w:val="0"/>
          <w:lang w:eastAsia="en-GB"/>
          <w14:ligatures w14:val="none"/>
        </w:rPr>
        <w:t>If all other reasonable attempts at contact and access by agreement have been exhausted, PNWHA will pursue appropriate legal remedies. These may include applying for injunctions from the courts to enforce the landlords ‘right of access’ or serving ‘notices of seeking possession’ for breach of tenancy and applying to the courts to bring the tenancy to an end.</w:t>
      </w:r>
    </w:p>
    <w:p w14:paraId="2E8557E9" w14:textId="77777777" w:rsidR="00621F6C" w:rsidRPr="00621F6C" w:rsidRDefault="00621F6C" w:rsidP="00621F6C">
      <w:pPr>
        <w:spacing w:after="0" w:line="240" w:lineRule="auto"/>
        <w:textAlignment w:val="baseline"/>
        <w:rPr>
          <w:rFonts w:ascii="Calibri" w:eastAsia="Times New Roman" w:hAnsi="Calibri" w:cs="Calibri"/>
          <w:color w:val="000000"/>
          <w:kern w:val="0"/>
          <w:lang w:eastAsia="en-GB"/>
          <w14:ligatures w14:val="none"/>
        </w:rPr>
      </w:pPr>
    </w:p>
    <w:p w14:paraId="1B910377" w14:textId="206F665F" w:rsidR="00F43773" w:rsidRPr="00FF258A" w:rsidRDefault="00C650ED" w:rsidP="00FF258A">
      <w:pPr>
        <w:pStyle w:val="ListParagraph"/>
        <w:numPr>
          <w:ilvl w:val="0"/>
          <w:numId w:val="9"/>
        </w:numPr>
        <w:spacing w:after="0" w:line="240" w:lineRule="auto"/>
        <w:textAlignment w:val="baseline"/>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In extreme circumstances we may force </w:t>
      </w:r>
      <w:r w:rsidR="005777A8">
        <w:rPr>
          <w:rFonts w:ascii="Calibri" w:eastAsia="Times New Roman" w:hAnsi="Calibri" w:cs="Calibri"/>
          <w:color w:val="000000"/>
          <w:kern w:val="0"/>
          <w:lang w:eastAsia="en-GB"/>
          <w14:ligatures w14:val="none"/>
        </w:rPr>
        <w:t xml:space="preserve">immediate </w:t>
      </w:r>
      <w:r>
        <w:rPr>
          <w:rFonts w:ascii="Calibri" w:eastAsia="Times New Roman" w:hAnsi="Calibri" w:cs="Calibri"/>
          <w:color w:val="000000"/>
          <w:kern w:val="0"/>
          <w:lang w:eastAsia="en-GB"/>
          <w14:ligatures w14:val="none"/>
        </w:rPr>
        <w:t>access</w:t>
      </w:r>
      <w:r w:rsidR="002D5FA6">
        <w:rPr>
          <w:rFonts w:ascii="Calibri" w:eastAsia="Times New Roman" w:hAnsi="Calibri" w:cs="Calibri"/>
          <w:color w:val="000000"/>
          <w:kern w:val="0"/>
          <w:lang w:eastAsia="en-GB"/>
          <w14:ligatures w14:val="none"/>
        </w:rPr>
        <w:t xml:space="preserve"> to the property.</w:t>
      </w:r>
      <w:r>
        <w:rPr>
          <w:rFonts w:ascii="Calibri" w:eastAsia="Times New Roman" w:hAnsi="Calibri" w:cs="Calibri"/>
          <w:color w:val="000000"/>
          <w:kern w:val="0"/>
          <w:lang w:eastAsia="en-GB"/>
          <w14:ligatures w14:val="none"/>
        </w:rPr>
        <w:t xml:space="preserve"> </w:t>
      </w:r>
      <w:r w:rsidR="002D5FA6">
        <w:rPr>
          <w:rFonts w:ascii="Calibri" w:eastAsia="Times New Roman" w:hAnsi="Calibri" w:cs="Calibri"/>
          <w:color w:val="000000"/>
          <w:kern w:val="0"/>
          <w:lang w:eastAsia="en-GB"/>
          <w14:ligatures w14:val="none"/>
        </w:rPr>
        <w:t>These may include</w:t>
      </w:r>
      <w:r w:rsidR="005003B1">
        <w:rPr>
          <w:rFonts w:ascii="Calibri" w:eastAsia="Times New Roman" w:hAnsi="Calibri" w:cs="Calibri"/>
          <w:color w:val="000000"/>
          <w:kern w:val="0"/>
          <w:lang w:eastAsia="en-GB"/>
          <w14:ligatures w14:val="none"/>
        </w:rPr>
        <w:t xml:space="preserve"> situations</w:t>
      </w:r>
      <w:r w:rsidR="00504D00" w:rsidRPr="00983DEC">
        <w:rPr>
          <w:rFonts w:ascii="Calibri" w:eastAsia="Times New Roman" w:hAnsi="Calibri" w:cs="Calibri"/>
          <w:color w:val="000000"/>
          <w:kern w:val="0"/>
          <w:lang w:eastAsia="en-GB"/>
          <w14:ligatures w14:val="none"/>
        </w:rPr>
        <w:t xml:space="preserve"> where</w:t>
      </w:r>
      <w:r w:rsidR="00032AFC" w:rsidRPr="00983DEC">
        <w:rPr>
          <w:rFonts w:ascii="Calibri" w:eastAsia="Times New Roman" w:hAnsi="Calibri" w:cs="Calibri"/>
          <w:color w:val="000000"/>
          <w:kern w:val="0"/>
          <w:lang w:eastAsia="en-GB"/>
          <w14:ligatures w14:val="none"/>
        </w:rPr>
        <w:t xml:space="preserve"> there is a reasonable assumption that there is a threat to the health and safety of individuals</w:t>
      </w:r>
      <w:r w:rsidR="009C5A06" w:rsidRPr="00983DEC">
        <w:rPr>
          <w:rFonts w:ascii="Calibri" w:eastAsia="Times New Roman" w:hAnsi="Calibri" w:cs="Calibri"/>
          <w:color w:val="000000"/>
          <w:kern w:val="0"/>
          <w:lang w:eastAsia="en-GB"/>
          <w14:ligatures w14:val="none"/>
        </w:rPr>
        <w:t>,</w:t>
      </w:r>
      <w:r w:rsidR="00032AFC" w:rsidRPr="00983DEC">
        <w:rPr>
          <w:rFonts w:ascii="Calibri" w:eastAsia="Times New Roman" w:hAnsi="Calibri" w:cs="Calibri"/>
          <w:color w:val="000000"/>
          <w:kern w:val="0"/>
          <w:lang w:eastAsia="en-GB"/>
          <w14:ligatures w14:val="none"/>
        </w:rPr>
        <w:t xml:space="preserve"> or</w:t>
      </w:r>
      <w:r w:rsidR="009C5A06" w:rsidRPr="00983DEC">
        <w:rPr>
          <w:rFonts w:ascii="Calibri" w:eastAsia="Times New Roman" w:hAnsi="Calibri" w:cs="Calibri"/>
          <w:color w:val="000000"/>
          <w:kern w:val="0"/>
          <w:lang w:eastAsia="en-GB"/>
          <w14:ligatures w14:val="none"/>
        </w:rPr>
        <w:t xml:space="preserve"> </w:t>
      </w:r>
      <w:r w:rsidR="00BA4F9F" w:rsidRPr="00983DEC">
        <w:rPr>
          <w:rFonts w:ascii="Calibri" w:eastAsia="Times New Roman" w:hAnsi="Calibri" w:cs="Calibri"/>
          <w:color w:val="000000"/>
          <w:kern w:val="0"/>
          <w:lang w:eastAsia="en-GB"/>
          <w14:ligatures w14:val="none"/>
        </w:rPr>
        <w:t>that</w:t>
      </w:r>
      <w:r w:rsidR="00032AFC" w:rsidRPr="00983DEC">
        <w:rPr>
          <w:rFonts w:ascii="Calibri" w:eastAsia="Times New Roman" w:hAnsi="Calibri" w:cs="Calibri"/>
          <w:color w:val="000000"/>
          <w:kern w:val="0"/>
          <w:lang w:eastAsia="en-GB"/>
          <w14:ligatures w14:val="none"/>
        </w:rPr>
        <w:t xml:space="preserve"> failure to act may result in property damage.</w:t>
      </w:r>
    </w:p>
    <w:p w14:paraId="727866C5" w14:textId="77777777" w:rsidR="00F43773" w:rsidRP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255389D4" w14:textId="77777777" w:rsidR="005F210C" w:rsidRPr="00F43773"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Equality and Diversity</w:t>
      </w:r>
    </w:p>
    <w:p w14:paraId="279559DD" w14:textId="77777777" w:rsidR="00F43773" w:rsidRDefault="00F43773" w:rsidP="00F43773">
      <w:pPr>
        <w:spacing w:after="0" w:line="240" w:lineRule="auto"/>
        <w:textAlignment w:val="baseline"/>
        <w:rPr>
          <w:rFonts w:ascii="Calibri" w:eastAsia="Times New Roman" w:hAnsi="Calibri" w:cs="Calibri"/>
          <w:b/>
          <w:bCs/>
          <w:color w:val="000000"/>
          <w:kern w:val="0"/>
          <w:lang w:eastAsia="en-GB"/>
          <w14:ligatures w14:val="none"/>
        </w:rPr>
      </w:pPr>
    </w:p>
    <w:p w14:paraId="0933D154" w14:textId="4D4C5354" w:rsidR="00F43773" w:rsidRPr="00F43773" w:rsidRDefault="00F43773" w:rsidP="00F43773">
      <w:pPr>
        <w:spacing w:after="0" w:line="240" w:lineRule="auto"/>
        <w:textAlignment w:val="baseline"/>
        <w:rPr>
          <w:rFonts w:ascii="Calibri" w:eastAsia="Times New Roman" w:hAnsi="Calibri" w:cs="Calibri"/>
          <w:color w:val="000000"/>
          <w:kern w:val="0"/>
          <w:lang w:eastAsia="en-GB"/>
          <w14:ligatures w14:val="none"/>
        </w:rPr>
      </w:pPr>
      <w:r w:rsidRPr="00F43773">
        <w:rPr>
          <w:rFonts w:ascii="Calibri" w:eastAsia="Times New Roman" w:hAnsi="Calibri" w:cs="Calibri"/>
          <w:color w:val="000000"/>
          <w:kern w:val="0"/>
          <w:lang w:eastAsia="en-GB"/>
          <w14:ligatures w14:val="none"/>
        </w:rPr>
        <w:t xml:space="preserve">PNWHA will follow its Equality and Diversity Policy and will take account of the tenant’s individual needs in the process of </w:t>
      </w:r>
      <w:r w:rsidR="006531A6">
        <w:rPr>
          <w:rFonts w:ascii="Calibri" w:eastAsia="Times New Roman" w:hAnsi="Calibri" w:cs="Calibri"/>
          <w:color w:val="000000"/>
          <w:kern w:val="0"/>
          <w:lang w:eastAsia="en-GB"/>
          <w14:ligatures w14:val="none"/>
        </w:rPr>
        <w:t>gaining access to a property.</w:t>
      </w:r>
    </w:p>
    <w:p w14:paraId="20BB42D9" w14:textId="77777777" w:rsidR="00F43773" w:rsidRPr="005F210C" w:rsidRDefault="00F43773" w:rsidP="00F43773">
      <w:pPr>
        <w:spacing w:after="0" w:line="240" w:lineRule="auto"/>
        <w:textAlignment w:val="baseline"/>
        <w:rPr>
          <w:rFonts w:ascii="Calibri" w:eastAsia="Times New Roman" w:hAnsi="Calibri" w:cs="Calibri"/>
          <w:color w:val="000000"/>
          <w:kern w:val="0"/>
          <w:lang w:eastAsia="en-GB"/>
          <w14:ligatures w14:val="none"/>
        </w:rPr>
      </w:pPr>
    </w:p>
    <w:p w14:paraId="6449030B" w14:textId="77777777" w:rsidR="005F210C" w:rsidRPr="008F55F8"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Responsibilities</w:t>
      </w:r>
    </w:p>
    <w:p w14:paraId="54943A0D" w14:textId="77777777" w:rsidR="008F55F8" w:rsidRDefault="008F55F8" w:rsidP="008F55F8">
      <w:pPr>
        <w:spacing w:after="0" w:line="240" w:lineRule="auto"/>
        <w:textAlignment w:val="baseline"/>
        <w:rPr>
          <w:rFonts w:ascii="Calibri" w:eastAsia="Times New Roman" w:hAnsi="Calibri" w:cs="Calibri"/>
          <w:b/>
          <w:bCs/>
          <w:color w:val="000000"/>
          <w:kern w:val="0"/>
          <w:lang w:eastAsia="en-GB"/>
          <w14:ligatures w14:val="none"/>
        </w:rPr>
      </w:pPr>
    </w:p>
    <w:p w14:paraId="7B6D8B62" w14:textId="12A34A21"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The accountabilities for implementation of this policy are as set out below</w:t>
      </w:r>
      <w:r w:rsidR="00AC63A9">
        <w:rPr>
          <w:rFonts w:ascii="Calibri" w:eastAsia="Times New Roman" w:hAnsi="Calibri" w:cs="Calibri"/>
          <w:color w:val="000000"/>
          <w:kern w:val="0"/>
          <w:lang w:eastAsia="en-GB"/>
          <w14:ligatures w14:val="none"/>
        </w:rPr>
        <w:t>:</w:t>
      </w:r>
    </w:p>
    <w:p w14:paraId="34892EE1" w14:textId="77777777" w:rsidR="008F55F8" w:rsidRPr="008F55F8" w:rsidRDefault="008F55F8" w:rsidP="008F55F8">
      <w:p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 </w:t>
      </w:r>
    </w:p>
    <w:p w14:paraId="0DD84662" w14:textId="77777777" w:rsidR="008F55F8" w:rsidRPr="008F55F8" w:rsidRDefault="008F55F8" w:rsidP="008F55F8">
      <w:pPr>
        <w:numPr>
          <w:ilvl w:val="0"/>
          <w:numId w:val="3"/>
        </w:numPr>
        <w:tabs>
          <w:tab w:val="num" w:pos="284"/>
        </w:tabs>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t xml:space="preserve">The Chief Executive retains overall accountability for the implementation of this policy.    </w:t>
      </w:r>
    </w:p>
    <w:p w14:paraId="4256A572" w14:textId="0E79873F" w:rsidR="008F55F8" w:rsidRPr="008F55F8" w:rsidRDefault="008F55F8" w:rsidP="008F55F8">
      <w:pPr>
        <w:numPr>
          <w:ilvl w:val="0"/>
          <w:numId w:val="3"/>
        </w:numPr>
        <w:spacing w:after="0" w:line="240" w:lineRule="auto"/>
        <w:textAlignment w:val="baseline"/>
        <w:rPr>
          <w:rFonts w:ascii="Calibri" w:eastAsia="Times New Roman" w:hAnsi="Calibri" w:cs="Calibri"/>
          <w:color w:val="000000"/>
          <w:kern w:val="0"/>
          <w:lang w:eastAsia="en-GB"/>
          <w14:ligatures w14:val="none"/>
        </w:rPr>
      </w:pPr>
      <w:r w:rsidRPr="008F55F8">
        <w:rPr>
          <w:rFonts w:ascii="Calibri" w:eastAsia="Times New Roman" w:hAnsi="Calibri" w:cs="Calibri"/>
          <w:color w:val="000000"/>
          <w:kern w:val="0"/>
          <w:lang w:eastAsia="en-GB"/>
          <w14:ligatures w14:val="none"/>
        </w:rPr>
        <w:lastRenderedPageBreak/>
        <w:t xml:space="preserve">The Housing Officer is responsible for the operational delivery of this policy.  </w:t>
      </w:r>
    </w:p>
    <w:p w14:paraId="0F2670D7" w14:textId="77777777" w:rsidR="008F55F8" w:rsidRPr="005F210C" w:rsidRDefault="008F55F8" w:rsidP="008F55F8">
      <w:pPr>
        <w:spacing w:after="0" w:line="240" w:lineRule="auto"/>
        <w:textAlignment w:val="baseline"/>
        <w:rPr>
          <w:rFonts w:ascii="Calibri" w:eastAsia="Times New Roman" w:hAnsi="Calibri" w:cs="Calibri"/>
          <w:color w:val="000000"/>
          <w:kern w:val="0"/>
          <w:lang w:eastAsia="en-GB"/>
          <w14:ligatures w14:val="none"/>
        </w:rPr>
      </w:pPr>
    </w:p>
    <w:p w14:paraId="11394154" w14:textId="77777777" w:rsidR="00AC63A9" w:rsidRDefault="005F210C" w:rsidP="00AC63A9">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Consultation and Engagement</w:t>
      </w:r>
    </w:p>
    <w:p w14:paraId="52F8EF9F" w14:textId="20EF23B3" w:rsidR="007D5EFA" w:rsidRDefault="007D5EFA" w:rsidP="00AC63A9">
      <w:pPr>
        <w:spacing w:after="0" w:line="240" w:lineRule="auto"/>
        <w:textAlignment w:val="baseline"/>
        <w:rPr>
          <w:rFonts w:ascii="Calibri" w:eastAsia="Times New Roman" w:hAnsi="Calibri" w:cs="Calibri"/>
          <w:color w:val="000000"/>
          <w:kern w:val="0"/>
          <w:lang w:eastAsia="en-GB"/>
          <w14:ligatures w14:val="none"/>
        </w:rPr>
      </w:pPr>
      <w:r w:rsidRPr="007D5EFA">
        <w:rPr>
          <w:rFonts w:ascii="Calibri" w:eastAsia="Times New Roman" w:hAnsi="Calibri" w:cs="Calibri"/>
          <w:color w:val="000000"/>
          <w:kern w:val="0"/>
          <w:lang w:eastAsia="en-GB"/>
          <w14:ligatures w14:val="none"/>
        </w:rPr>
        <w:t>The policy has been developed in partnership with the Community Housing Partnership (CHP). </w:t>
      </w:r>
    </w:p>
    <w:p w14:paraId="7E742C94" w14:textId="77777777" w:rsidR="00AC63A9" w:rsidRPr="00AC63A9" w:rsidRDefault="00AC63A9" w:rsidP="00AC63A9">
      <w:pPr>
        <w:spacing w:after="0" w:line="240" w:lineRule="auto"/>
        <w:textAlignment w:val="baseline"/>
        <w:rPr>
          <w:rFonts w:ascii="Calibri" w:eastAsia="Times New Roman" w:hAnsi="Calibri" w:cs="Calibri"/>
          <w:color w:val="000000"/>
          <w:kern w:val="0"/>
          <w:lang w:eastAsia="en-GB"/>
          <w14:ligatures w14:val="none"/>
        </w:rPr>
      </w:pPr>
    </w:p>
    <w:p w14:paraId="5296E5FF" w14:textId="4CD50248" w:rsidR="00534A54" w:rsidRDefault="005F210C" w:rsidP="00534A54">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Monitoring, Review and Reporting</w:t>
      </w:r>
    </w:p>
    <w:p w14:paraId="0A463F35" w14:textId="77777777" w:rsidR="00534A54" w:rsidRP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p>
    <w:p w14:paraId="393A87A1" w14:textId="2F8B15C7" w:rsidR="00534A54" w:rsidRDefault="00534A54" w:rsidP="00534A54">
      <w:pPr>
        <w:spacing w:after="0" w:line="240" w:lineRule="auto"/>
        <w:textAlignment w:val="baseline"/>
        <w:rPr>
          <w:rFonts w:ascii="Calibri" w:eastAsia="Times New Roman" w:hAnsi="Calibri" w:cs="Calibri"/>
          <w:color w:val="000000"/>
          <w:kern w:val="0"/>
          <w:lang w:eastAsia="en-GB"/>
          <w14:ligatures w14:val="none"/>
        </w:rPr>
      </w:pPr>
      <w:r w:rsidRPr="00534A54">
        <w:rPr>
          <w:rFonts w:ascii="Calibri" w:eastAsia="Times New Roman" w:hAnsi="Calibri" w:cs="Calibri"/>
          <w:color w:val="000000"/>
          <w:kern w:val="0"/>
          <w:lang w:eastAsia="en-GB"/>
          <w14:ligatures w14:val="none"/>
        </w:rPr>
        <w:t>This policy will be reviewed every 3 years or more often if necessary.  </w:t>
      </w:r>
    </w:p>
    <w:p w14:paraId="035AE351" w14:textId="77777777" w:rsidR="00534A54" w:rsidRPr="005F210C" w:rsidRDefault="00534A54" w:rsidP="00501A1C">
      <w:pPr>
        <w:spacing w:after="0" w:line="240" w:lineRule="auto"/>
        <w:textAlignment w:val="baseline"/>
        <w:rPr>
          <w:rFonts w:ascii="Calibri" w:eastAsia="Times New Roman" w:hAnsi="Calibri" w:cs="Calibri"/>
          <w:color w:val="000000"/>
          <w:kern w:val="0"/>
          <w:lang w:eastAsia="en-GB"/>
          <w14:ligatures w14:val="none"/>
        </w:rPr>
      </w:pPr>
    </w:p>
    <w:p w14:paraId="43AF2B44" w14:textId="77777777" w:rsidR="005F210C" w:rsidRPr="00835C0F"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Accessibility</w:t>
      </w:r>
    </w:p>
    <w:p w14:paraId="3F16995F" w14:textId="77777777" w:rsidR="00835C0F" w:rsidRDefault="00835C0F" w:rsidP="00835C0F">
      <w:pPr>
        <w:spacing w:after="0" w:line="240" w:lineRule="auto"/>
        <w:textAlignment w:val="baseline"/>
        <w:rPr>
          <w:rFonts w:ascii="Calibri" w:eastAsia="Times New Roman" w:hAnsi="Calibri" w:cs="Calibri"/>
          <w:b/>
          <w:bCs/>
          <w:color w:val="000000"/>
          <w:kern w:val="0"/>
          <w:lang w:eastAsia="en-GB"/>
          <w14:ligatures w14:val="none"/>
        </w:rPr>
      </w:pPr>
    </w:p>
    <w:p w14:paraId="7F441410" w14:textId="0E28677B"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b/>
          <w:bCs/>
          <w:color w:val="000000"/>
          <w:kern w:val="0"/>
          <w:lang w:eastAsia="en-GB"/>
          <w14:ligatures w14:val="none"/>
        </w:rPr>
        <w:t xml:space="preserve"> </w:t>
      </w:r>
      <w:r w:rsidRPr="00835C0F">
        <w:rPr>
          <w:rFonts w:ascii="Calibri" w:eastAsia="Times New Roman" w:hAnsi="Calibri" w:cs="Calibri"/>
          <w:color w:val="000000"/>
          <w:kern w:val="0"/>
          <w:lang w:eastAsia="en-GB"/>
          <w14:ligatures w14:val="none"/>
        </w:rPr>
        <w:t>All information will be available in a variety of formats to ensure that it is: </w:t>
      </w:r>
    </w:p>
    <w:p w14:paraId="71C2B46D"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5590BB4C" w14:textId="77777777" w:rsidR="00835C0F" w:rsidRPr="00835C0F" w:rsidRDefault="00835C0F" w:rsidP="00835C0F">
      <w:pPr>
        <w:numPr>
          <w:ilvl w:val="0"/>
          <w:numId w:val="4"/>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In a readable typeface and print size – our website includes details of how to change settings for those with visual impairment </w:t>
      </w:r>
    </w:p>
    <w:p w14:paraId="2C6E3CA2" w14:textId="77777777" w:rsidR="00835C0F" w:rsidRPr="00835C0F" w:rsidRDefault="00835C0F" w:rsidP="00835C0F">
      <w:pPr>
        <w:numPr>
          <w:ilvl w:val="0"/>
          <w:numId w:val="5"/>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Translated where appropriate – our website includes Google translate </w:t>
      </w:r>
    </w:p>
    <w:p w14:paraId="1C18ED84" w14:textId="77777777" w:rsidR="00835C0F" w:rsidRPr="00835C0F" w:rsidRDefault="00835C0F" w:rsidP="00835C0F">
      <w:pPr>
        <w:numPr>
          <w:ilvl w:val="0"/>
          <w:numId w:val="6"/>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Available upon request in formats suitable for tenants with specific communication needs e.g. picture format, electronic for use with screen readers </w:t>
      </w:r>
    </w:p>
    <w:p w14:paraId="035CB28E"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 </w:t>
      </w:r>
    </w:p>
    <w:p w14:paraId="163A9DA6" w14:textId="77777777" w:rsidR="00835C0F" w:rsidRPr="00835C0F" w:rsidRDefault="00835C0F" w:rsidP="00835C0F">
      <w:p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If you require any help to understand or access this document, you can contact us via:  </w:t>
      </w:r>
    </w:p>
    <w:p w14:paraId="61BE9549"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In person at the Estate Office – 24 Rectory Green (Mon-Thursday 9.00 to 5.00 and Friday 9.00 to 4.30)</w:t>
      </w:r>
    </w:p>
    <w:p w14:paraId="67720342" w14:textId="7777777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hyperlink r:id="rId5" w:history="1">
        <w:r w:rsidRPr="00835C0F">
          <w:rPr>
            <w:rStyle w:val="Hyperlink"/>
            <w:rFonts w:ascii="Calibri" w:eastAsia="Times New Roman" w:hAnsi="Calibri" w:cs="Calibri"/>
            <w:kern w:val="0"/>
            <w:lang w:eastAsia="en-GB"/>
            <w14:ligatures w14:val="none"/>
          </w:rPr>
          <w:t>info@pnwha.org.uk</w:t>
        </w:r>
      </w:hyperlink>
    </w:p>
    <w:p w14:paraId="26501C06" w14:textId="616A39C7" w:rsidR="00835C0F" w:rsidRPr="00835C0F" w:rsidRDefault="00835C0F" w:rsidP="00835C0F">
      <w:pPr>
        <w:numPr>
          <w:ilvl w:val="0"/>
          <w:numId w:val="7"/>
        </w:numPr>
        <w:spacing w:after="0" w:line="240" w:lineRule="auto"/>
        <w:textAlignment w:val="baseline"/>
        <w:rPr>
          <w:rFonts w:ascii="Calibri" w:eastAsia="Times New Roman" w:hAnsi="Calibri" w:cs="Calibri"/>
          <w:color w:val="000000"/>
          <w:kern w:val="0"/>
          <w:lang w:eastAsia="en-GB"/>
          <w14:ligatures w14:val="none"/>
        </w:rPr>
      </w:pPr>
      <w:r w:rsidRPr="00835C0F">
        <w:rPr>
          <w:rFonts w:ascii="Calibri" w:eastAsia="Times New Roman" w:hAnsi="Calibri" w:cs="Calibri"/>
          <w:color w:val="000000"/>
          <w:kern w:val="0"/>
          <w:lang w:eastAsia="en-GB"/>
          <w14:ligatures w14:val="none"/>
        </w:rPr>
        <w:t>Telephone 0161 773 5219</w:t>
      </w:r>
    </w:p>
    <w:p w14:paraId="659E0BB8" w14:textId="77777777" w:rsidR="00835C0F" w:rsidRPr="005F210C" w:rsidRDefault="00835C0F" w:rsidP="00835C0F">
      <w:pPr>
        <w:spacing w:after="0" w:line="240" w:lineRule="auto"/>
        <w:textAlignment w:val="baseline"/>
        <w:rPr>
          <w:rFonts w:ascii="Calibri" w:eastAsia="Times New Roman" w:hAnsi="Calibri" w:cs="Calibri"/>
          <w:color w:val="000000"/>
          <w:kern w:val="0"/>
          <w:lang w:eastAsia="en-GB"/>
          <w14:ligatures w14:val="none"/>
        </w:rPr>
      </w:pPr>
    </w:p>
    <w:p w14:paraId="025248E7" w14:textId="652E15A1" w:rsidR="005F210C" w:rsidRPr="005F210C" w:rsidRDefault="005F210C" w:rsidP="005F210C">
      <w:pPr>
        <w:numPr>
          <w:ilvl w:val="0"/>
          <w:numId w:val="1"/>
        </w:numPr>
        <w:tabs>
          <w:tab w:val="num" w:pos="284"/>
        </w:tabs>
        <w:spacing w:after="0" w:line="240" w:lineRule="auto"/>
        <w:ind w:hanging="720"/>
        <w:textAlignment w:val="baseline"/>
        <w:rPr>
          <w:rFonts w:ascii="Calibri" w:eastAsia="Times New Roman" w:hAnsi="Calibri" w:cs="Calibri"/>
          <w:color w:val="000000"/>
          <w:kern w:val="0"/>
          <w:lang w:eastAsia="en-GB"/>
          <w14:ligatures w14:val="none"/>
        </w:rPr>
      </w:pPr>
      <w:r>
        <w:rPr>
          <w:rFonts w:ascii="Calibri" w:eastAsia="Times New Roman" w:hAnsi="Calibri" w:cs="Calibri"/>
          <w:b/>
          <w:bCs/>
          <w:color w:val="000000"/>
          <w:kern w:val="0"/>
          <w:lang w:eastAsia="en-GB"/>
          <w14:ligatures w14:val="none"/>
        </w:rPr>
        <w:t>Related Policies</w:t>
      </w:r>
      <w:r>
        <w:rPr>
          <w:rFonts w:ascii="Calibri" w:eastAsia="Times New Roman" w:hAnsi="Calibri" w:cs="Calibri"/>
          <w:color w:val="000000"/>
          <w:kern w:val="0"/>
          <w:lang w:eastAsia="en-GB"/>
          <w14:ligatures w14:val="none"/>
        </w:rPr>
        <w:t xml:space="preserve"> </w:t>
      </w:r>
    </w:p>
    <w:p w14:paraId="51903D7D" w14:textId="77777777" w:rsidR="004D36EF" w:rsidRDefault="004D36EF" w:rsidP="00511876"/>
    <w:p w14:paraId="0B21927B" w14:textId="09851556" w:rsidR="00511876" w:rsidRPr="00511876" w:rsidRDefault="00511876" w:rsidP="00511876">
      <w:pPr>
        <w:rPr>
          <w:rFonts w:ascii="Calibri" w:hAnsi="Calibri" w:cs="Calibri"/>
        </w:rPr>
      </w:pPr>
      <w:r w:rsidRPr="00511876">
        <w:rPr>
          <w:rFonts w:ascii="Calibri" w:hAnsi="Calibri" w:cs="Calibri"/>
        </w:rPr>
        <w:t>You may also wish to read our policies on:  </w:t>
      </w:r>
    </w:p>
    <w:p w14:paraId="290E21F4" w14:textId="54BE4B30" w:rsidR="00F11F3E" w:rsidRDefault="00F11F3E" w:rsidP="00511876">
      <w:pPr>
        <w:numPr>
          <w:ilvl w:val="0"/>
          <w:numId w:val="8"/>
        </w:numPr>
        <w:rPr>
          <w:rFonts w:ascii="Calibri" w:hAnsi="Calibri" w:cs="Calibri"/>
        </w:rPr>
      </w:pPr>
      <w:r>
        <w:rPr>
          <w:rFonts w:ascii="Calibri" w:hAnsi="Calibri" w:cs="Calibri"/>
        </w:rPr>
        <w:t>Repairs</w:t>
      </w:r>
    </w:p>
    <w:p w14:paraId="21FD29FD" w14:textId="1FF24595" w:rsidR="00511876" w:rsidRPr="00511876" w:rsidRDefault="00A40832" w:rsidP="00511876">
      <w:pPr>
        <w:numPr>
          <w:ilvl w:val="0"/>
          <w:numId w:val="8"/>
        </w:numPr>
        <w:rPr>
          <w:rFonts w:ascii="Calibri" w:hAnsi="Calibri" w:cs="Calibri"/>
        </w:rPr>
      </w:pPr>
      <w:r>
        <w:rPr>
          <w:rFonts w:ascii="Calibri" w:hAnsi="Calibri" w:cs="Calibri"/>
        </w:rPr>
        <w:t>Equality and Diversity</w:t>
      </w:r>
    </w:p>
    <w:p w14:paraId="70A167EA" w14:textId="77777777" w:rsidR="00CC46A5" w:rsidRDefault="00CC46A5"/>
    <w:sectPr w:rsidR="00CC4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71A"/>
    <w:multiLevelType w:val="hybridMultilevel"/>
    <w:tmpl w:val="88E892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5795D38"/>
    <w:multiLevelType w:val="multilevel"/>
    <w:tmpl w:val="F8800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440548"/>
    <w:multiLevelType w:val="multilevel"/>
    <w:tmpl w:val="917A95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0409E8"/>
    <w:multiLevelType w:val="multilevel"/>
    <w:tmpl w:val="5992A568"/>
    <w:lvl w:ilvl="0">
      <w:start w:val="1"/>
      <w:numFmt w:val="lowerRoman"/>
      <w:lvlText w:val="%1."/>
      <w:lvlJc w:val="right"/>
      <w:pPr>
        <w:tabs>
          <w:tab w:val="num" w:pos="1440"/>
        </w:tabs>
        <w:ind w:left="1440" w:hanging="360"/>
      </w:pPr>
    </w:lvl>
    <w:lvl w:ilvl="1">
      <w:start w:val="1"/>
      <w:numFmt w:val="lowerRoman"/>
      <w:lvlText w:val="%2."/>
      <w:lvlJc w:val="right"/>
      <w:pPr>
        <w:tabs>
          <w:tab w:val="num" w:pos="2160"/>
        </w:tabs>
        <w:ind w:left="2160" w:hanging="360"/>
      </w:pPr>
    </w:lvl>
    <w:lvl w:ilvl="2">
      <w:start w:val="1"/>
      <w:numFmt w:val="lowerRoman"/>
      <w:lvlText w:val="%3."/>
      <w:lvlJc w:val="right"/>
      <w:pPr>
        <w:tabs>
          <w:tab w:val="num" w:pos="2880"/>
        </w:tabs>
        <w:ind w:left="2880" w:hanging="360"/>
      </w:pPr>
    </w:lvl>
    <w:lvl w:ilvl="3">
      <w:start w:val="1"/>
      <w:numFmt w:val="lowerRoman"/>
      <w:lvlText w:val="%4."/>
      <w:lvlJc w:val="right"/>
      <w:pPr>
        <w:tabs>
          <w:tab w:val="num" w:pos="3600"/>
        </w:tabs>
        <w:ind w:left="3600" w:hanging="360"/>
      </w:pPr>
    </w:lvl>
    <w:lvl w:ilvl="4">
      <w:start w:val="1"/>
      <w:numFmt w:val="lowerRoman"/>
      <w:lvlText w:val="%5."/>
      <w:lvlJc w:val="right"/>
      <w:pPr>
        <w:tabs>
          <w:tab w:val="num" w:pos="4320"/>
        </w:tabs>
        <w:ind w:left="4320" w:hanging="360"/>
      </w:pPr>
    </w:lvl>
    <w:lvl w:ilvl="5">
      <w:start w:val="1"/>
      <w:numFmt w:val="lowerRoman"/>
      <w:lvlText w:val="%6."/>
      <w:lvlJc w:val="right"/>
      <w:pPr>
        <w:tabs>
          <w:tab w:val="num" w:pos="5040"/>
        </w:tabs>
        <w:ind w:left="5040" w:hanging="360"/>
      </w:pPr>
    </w:lvl>
    <w:lvl w:ilvl="6">
      <w:start w:val="1"/>
      <w:numFmt w:val="lowerRoman"/>
      <w:lvlText w:val="%7."/>
      <w:lvlJc w:val="right"/>
      <w:pPr>
        <w:tabs>
          <w:tab w:val="num" w:pos="5760"/>
        </w:tabs>
        <w:ind w:left="5760" w:hanging="360"/>
      </w:pPr>
    </w:lvl>
    <w:lvl w:ilvl="7">
      <w:start w:val="1"/>
      <w:numFmt w:val="lowerRoman"/>
      <w:lvlText w:val="%8."/>
      <w:lvlJc w:val="right"/>
      <w:pPr>
        <w:tabs>
          <w:tab w:val="num" w:pos="6480"/>
        </w:tabs>
        <w:ind w:left="6480" w:hanging="360"/>
      </w:pPr>
    </w:lvl>
    <w:lvl w:ilvl="8">
      <w:start w:val="1"/>
      <w:numFmt w:val="lowerRoman"/>
      <w:lvlText w:val="%9."/>
      <w:lvlJc w:val="right"/>
      <w:pPr>
        <w:tabs>
          <w:tab w:val="num" w:pos="7200"/>
        </w:tabs>
        <w:ind w:left="7200" w:hanging="360"/>
      </w:pPr>
    </w:lvl>
  </w:abstractNum>
  <w:abstractNum w:abstractNumId="4" w15:restartNumberingAfterBreak="0">
    <w:nsid w:val="447F6DD6"/>
    <w:multiLevelType w:val="hybridMultilevel"/>
    <w:tmpl w:val="EBAA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051B0C"/>
    <w:multiLevelType w:val="multilevel"/>
    <w:tmpl w:val="B7FCC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77639D"/>
    <w:multiLevelType w:val="multilevel"/>
    <w:tmpl w:val="894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A38E2"/>
    <w:multiLevelType w:val="multilevel"/>
    <w:tmpl w:val="F2D6B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B559C7"/>
    <w:multiLevelType w:val="multilevel"/>
    <w:tmpl w:val="FEE64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91776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986442">
    <w:abstractNumId w:val="6"/>
  </w:num>
  <w:num w:numId="3" w16cid:durableId="1113594363">
    <w:abstractNumId w:val="0"/>
  </w:num>
  <w:num w:numId="4" w16cid:durableId="1024599697">
    <w:abstractNumId w:val="1"/>
  </w:num>
  <w:num w:numId="5" w16cid:durableId="508836170">
    <w:abstractNumId w:val="8"/>
  </w:num>
  <w:num w:numId="6" w16cid:durableId="671297369">
    <w:abstractNumId w:val="5"/>
  </w:num>
  <w:num w:numId="7" w16cid:durableId="1383678943">
    <w:abstractNumId w:val="7"/>
  </w:num>
  <w:num w:numId="8" w16cid:durableId="11663634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2141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10C"/>
    <w:rsid w:val="00032AFC"/>
    <w:rsid w:val="00044425"/>
    <w:rsid w:val="0004457F"/>
    <w:rsid w:val="00055358"/>
    <w:rsid w:val="000C151E"/>
    <w:rsid w:val="001770F3"/>
    <w:rsid w:val="001861BA"/>
    <w:rsid w:val="001A7440"/>
    <w:rsid w:val="002043F8"/>
    <w:rsid w:val="002646F0"/>
    <w:rsid w:val="0027280A"/>
    <w:rsid w:val="002D5FA6"/>
    <w:rsid w:val="0035090A"/>
    <w:rsid w:val="003B5301"/>
    <w:rsid w:val="00403600"/>
    <w:rsid w:val="004249FA"/>
    <w:rsid w:val="00462F90"/>
    <w:rsid w:val="004D36EF"/>
    <w:rsid w:val="004E608A"/>
    <w:rsid w:val="004E6D9B"/>
    <w:rsid w:val="005003B1"/>
    <w:rsid w:val="00501A1C"/>
    <w:rsid w:val="00504D00"/>
    <w:rsid w:val="00511876"/>
    <w:rsid w:val="00522DD2"/>
    <w:rsid w:val="00534A54"/>
    <w:rsid w:val="00542877"/>
    <w:rsid w:val="00553C83"/>
    <w:rsid w:val="0055707E"/>
    <w:rsid w:val="00562C60"/>
    <w:rsid w:val="005777A8"/>
    <w:rsid w:val="0059037A"/>
    <w:rsid w:val="005F210C"/>
    <w:rsid w:val="005F6F6B"/>
    <w:rsid w:val="00607C4F"/>
    <w:rsid w:val="00621F6C"/>
    <w:rsid w:val="006531A6"/>
    <w:rsid w:val="006A20B2"/>
    <w:rsid w:val="006C3B29"/>
    <w:rsid w:val="006D0C76"/>
    <w:rsid w:val="006F78FC"/>
    <w:rsid w:val="0070508D"/>
    <w:rsid w:val="00786A72"/>
    <w:rsid w:val="00795265"/>
    <w:rsid w:val="007D5EFA"/>
    <w:rsid w:val="007E2496"/>
    <w:rsid w:val="00835C0F"/>
    <w:rsid w:val="00870DBD"/>
    <w:rsid w:val="00876FE9"/>
    <w:rsid w:val="0087771B"/>
    <w:rsid w:val="008F28DE"/>
    <w:rsid w:val="008F55F8"/>
    <w:rsid w:val="00914A76"/>
    <w:rsid w:val="00975984"/>
    <w:rsid w:val="00983DEC"/>
    <w:rsid w:val="009A0FD8"/>
    <w:rsid w:val="009C524E"/>
    <w:rsid w:val="009C5A06"/>
    <w:rsid w:val="009E6904"/>
    <w:rsid w:val="00A37855"/>
    <w:rsid w:val="00A40832"/>
    <w:rsid w:val="00AB0EC6"/>
    <w:rsid w:val="00AC63A9"/>
    <w:rsid w:val="00B057F6"/>
    <w:rsid w:val="00B630E8"/>
    <w:rsid w:val="00BA4F9F"/>
    <w:rsid w:val="00BE1C21"/>
    <w:rsid w:val="00C650ED"/>
    <w:rsid w:val="00CC27A6"/>
    <w:rsid w:val="00CC46A5"/>
    <w:rsid w:val="00D42F11"/>
    <w:rsid w:val="00D53455"/>
    <w:rsid w:val="00D9101D"/>
    <w:rsid w:val="00DC6D8B"/>
    <w:rsid w:val="00DD662B"/>
    <w:rsid w:val="00E14B23"/>
    <w:rsid w:val="00E16C56"/>
    <w:rsid w:val="00E53F2F"/>
    <w:rsid w:val="00E839D5"/>
    <w:rsid w:val="00F11F3E"/>
    <w:rsid w:val="00F43773"/>
    <w:rsid w:val="00F8174A"/>
    <w:rsid w:val="00FD0983"/>
    <w:rsid w:val="00FF1ABD"/>
    <w:rsid w:val="00FF258A"/>
    <w:rsid w:val="00FF6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6AC1C"/>
  <w15:chartTrackingRefBased/>
  <w15:docId w15:val="{D4A378CB-ECDF-4859-883D-C944F82A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10C"/>
    <w:rPr>
      <w:rFonts w:eastAsiaTheme="majorEastAsia" w:cstheme="majorBidi"/>
      <w:color w:val="272727" w:themeColor="text1" w:themeTint="D8"/>
    </w:rPr>
  </w:style>
  <w:style w:type="paragraph" w:styleId="Title">
    <w:name w:val="Title"/>
    <w:basedOn w:val="Normal"/>
    <w:next w:val="Normal"/>
    <w:link w:val="TitleChar"/>
    <w:uiPriority w:val="10"/>
    <w:qFormat/>
    <w:rsid w:val="005F2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10C"/>
    <w:pPr>
      <w:spacing w:before="160"/>
      <w:jc w:val="center"/>
    </w:pPr>
    <w:rPr>
      <w:i/>
      <w:iCs/>
      <w:color w:val="404040" w:themeColor="text1" w:themeTint="BF"/>
    </w:rPr>
  </w:style>
  <w:style w:type="character" w:customStyle="1" w:styleId="QuoteChar">
    <w:name w:val="Quote Char"/>
    <w:basedOn w:val="DefaultParagraphFont"/>
    <w:link w:val="Quote"/>
    <w:uiPriority w:val="29"/>
    <w:rsid w:val="005F210C"/>
    <w:rPr>
      <w:i/>
      <w:iCs/>
      <w:color w:val="404040" w:themeColor="text1" w:themeTint="BF"/>
    </w:rPr>
  </w:style>
  <w:style w:type="paragraph" w:styleId="ListParagraph">
    <w:name w:val="List Paragraph"/>
    <w:basedOn w:val="Normal"/>
    <w:uiPriority w:val="34"/>
    <w:qFormat/>
    <w:rsid w:val="005F210C"/>
    <w:pPr>
      <w:ind w:left="720"/>
      <w:contextualSpacing/>
    </w:pPr>
  </w:style>
  <w:style w:type="character" w:styleId="IntenseEmphasis">
    <w:name w:val="Intense Emphasis"/>
    <w:basedOn w:val="DefaultParagraphFont"/>
    <w:uiPriority w:val="21"/>
    <w:qFormat/>
    <w:rsid w:val="005F210C"/>
    <w:rPr>
      <w:i/>
      <w:iCs/>
      <w:color w:val="0F4761" w:themeColor="accent1" w:themeShade="BF"/>
    </w:rPr>
  </w:style>
  <w:style w:type="paragraph" w:styleId="IntenseQuote">
    <w:name w:val="Intense Quote"/>
    <w:basedOn w:val="Normal"/>
    <w:next w:val="Normal"/>
    <w:link w:val="IntenseQuoteChar"/>
    <w:uiPriority w:val="30"/>
    <w:qFormat/>
    <w:rsid w:val="005F2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10C"/>
    <w:rPr>
      <w:i/>
      <w:iCs/>
      <w:color w:val="0F4761" w:themeColor="accent1" w:themeShade="BF"/>
    </w:rPr>
  </w:style>
  <w:style w:type="character" w:styleId="IntenseReference">
    <w:name w:val="Intense Reference"/>
    <w:basedOn w:val="DefaultParagraphFont"/>
    <w:uiPriority w:val="32"/>
    <w:qFormat/>
    <w:rsid w:val="005F210C"/>
    <w:rPr>
      <w:b/>
      <w:bCs/>
      <w:smallCaps/>
      <w:color w:val="0F4761" w:themeColor="accent1" w:themeShade="BF"/>
      <w:spacing w:val="5"/>
    </w:rPr>
  </w:style>
  <w:style w:type="table" w:styleId="TableGrid">
    <w:name w:val="Table Grid"/>
    <w:basedOn w:val="TableNormal"/>
    <w:uiPriority w:val="39"/>
    <w:rsid w:val="005F210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5C0F"/>
    <w:rPr>
      <w:color w:val="467886" w:themeColor="hyperlink"/>
      <w:u w:val="single"/>
    </w:rPr>
  </w:style>
  <w:style w:type="character" w:styleId="UnresolvedMention">
    <w:name w:val="Unresolved Mention"/>
    <w:basedOn w:val="DefaultParagraphFont"/>
    <w:uiPriority w:val="99"/>
    <w:semiHidden/>
    <w:unhideWhenUsed/>
    <w:rsid w:val="0083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112">
      <w:bodyDiv w:val="1"/>
      <w:marLeft w:val="0"/>
      <w:marRight w:val="0"/>
      <w:marTop w:val="0"/>
      <w:marBottom w:val="0"/>
      <w:divBdr>
        <w:top w:val="none" w:sz="0" w:space="0" w:color="auto"/>
        <w:left w:val="none" w:sz="0" w:space="0" w:color="auto"/>
        <w:bottom w:val="none" w:sz="0" w:space="0" w:color="auto"/>
        <w:right w:val="none" w:sz="0" w:space="0" w:color="auto"/>
      </w:divBdr>
    </w:div>
    <w:div w:id="580026091">
      <w:bodyDiv w:val="1"/>
      <w:marLeft w:val="0"/>
      <w:marRight w:val="0"/>
      <w:marTop w:val="0"/>
      <w:marBottom w:val="0"/>
      <w:divBdr>
        <w:top w:val="none" w:sz="0" w:space="0" w:color="auto"/>
        <w:left w:val="none" w:sz="0" w:space="0" w:color="auto"/>
        <w:bottom w:val="none" w:sz="0" w:space="0" w:color="auto"/>
        <w:right w:val="none" w:sz="0" w:space="0" w:color="auto"/>
      </w:divBdr>
    </w:div>
    <w:div w:id="1254124545">
      <w:bodyDiv w:val="1"/>
      <w:marLeft w:val="0"/>
      <w:marRight w:val="0"/>
      <w:marTop w:val="0"/>
      <w:marBottom w:val="0"/>
      <w:divBdr>
        <w:top w:val="none" w:sz="0" w:space="0" w:color="auto"/>
        <w:left w:val="none" w:sz="0" w:space="0" w:color="auto"/>
        <w:bottom w:val="none" w:sz="0" w:space="0" w:color="auto"/>
        <w:right w:val="none" w:sz="0" w:space="0" w:color="auto"/>
      </w:divBdr>
    </w:div>
    <w:div w:id="1722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nwh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Hurst</dc:creator>
  <cp:keywords/>
  <dc:description/>
  <cp:lastModifiedBy>Mike Corfield</cp:lastModifiedBy>
  <cp:revision>2</cp:revision>
  <cp:lastPrinted>2025-08-18T11:38:00Z</cp:lastPrinted>
  <dcterms:created xsi:type="dcterms:W3CDTF">2025-08-18T11:51:00Z</dcterms:created>
  <dcterms:modified xsi:type="dcterms:W3CDTF">2025-08-18T11:51:00Z</dcterms:modified>
</cp:coreProperties>
</file>